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67" w:rsidRPr="00B86967" w:rsidRDefault="00B86967" w:rsidP="00B86967">
      <w:pPr>
        <w:spacing w:line="600" w:lineRule="exact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附件一</w:t>
      </w:r>
    </w:p>
    <w:p w:rsidR="00B86967" w:rsidRPr="00845F84" w:rsidRDefault="00B86967" w:rsidP="00B86967">
      <w:pPr>
        <w:spacing w:line="600" w:lineRule="exact"/>
        <w:jc w:val="center"/>
        <w:rPr>
          <w:rFonts w:ascii="仿宋" w:eastAsia="仿宋" w:hAnsi="仿宋"/>
          <w:b/>
          <w:bCs/>
          <w:szCs w:val="32"/>
        </w:rPr>
      </w:pPr>
      <w:r w:rsidRPr="00845F84">
        <w:rPr>
          <w:rFonts w:ascii="仿宋" w:eastAsia="仿宋" w:hAnsi="仿宋" w:hint="eastAsia"/>
          <w:b/>
          <w:bCs/>
          <w:szCs w:val="32"/>
        </w:rPr>
        <w:t>2015年度四川省高校教职工游泳比赛</w:t>
      </w:r>
    </w:p>
    <w:p w:rsidR="005E768D" w:rsidRPr="00845F84" w:rsidRDefault="00B86967" w:rsidP="00B86967">
      <w:pPr>
        <w:spacing w:line="600" w:lineRule="exact"/>
        <w:jc w:val="center"/>
        <w:rPr>
          <w:rFonts w:ascii="仿宋" w:eastAsia="仿宋" w:hAnsi="仿宋"/>
          <w:b/>
          <w:bCs/>
          <w:szCs w:val="32"/>
        </w:rPr>
      </w:pPr>
      <w:r w:rsidRPr="00845F84">
        <w:rPr>
          <w:rFonts w:ascii="仿宋" w:eastAsia="仿宋" w:hAnsi="仿宋" w:hint="eastAsia"/>
          <w:b/>
          <w:bCs/>
          <w:szCs w:val="32"/>
        </w:rPr>
        <w:t>竞赛事宜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一、竞赛年龄分组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 xml:space="preserve">分两个年龄组：45岁以下（含45岁），46岁以上（含46岁）； </w:t>
      </w:r>
    </w:p>
    <w:p w:rsidR="005E768D" w:rsidRPr="00B86967" w:rsidRDefault="005E768D" w:rsidP="005E768D">
      <w:pPr>
        <w:numPr>
          <w:ilvl w:val="0"/>
          <w:numId w:val="1"/>
        </w:numPr>
        <w:spacing w:line="600" w:lineRule="exact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竞赛项目</w:t>
      </w:r>
    </w:p>
    <w:p w:rsidR="005E768D" w:rsidRPr="00B86967" w:rsidRDefault="005E768D" w:rsidP="005E768D">
      <w:pPr>
        <w:spacing w:line="600" w:lineRule="exact"/>
        <w:ind w:left="68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男子：50米自由泳、100米自由泳、50米蛙泳、100米</w:t>
      </w:r>
    </w:p>
    <w:p w:rsidR="005E768D" w:rsidRPr="00B86967" w:rsidRDefault="005E768D" w:rsidP="005E768D">
      <w:pPr>
        <w:spacing w:line="600" w:lineRule="exact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蛙泳、4*50米自由泳接力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女子：50米自由泳、100米自由泳、50米蛙泳、100米蛙泳、4*50米自由泳接力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三、参赛组队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以各高校为单位组队参赛，每队确定领队1人，教练1人，领队、教练均可兼运动员。每名运动员最多可参加2个单项比赛，每队男女运动员总数不超过10人。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四、其它事宜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1.参赛人员交通及住宿费用回单位报销(原则上成都市区内的高校不住宿，若需住宿的请在报名表上注明)。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2.参赛教师、职工需持有教师资格证（或工作证）、身份证 (在报名表上请注明教师资格证编号)。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3.比赛期间如发生伤病事故等情况，由参赛单位负责。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  <w:r w:rsidRPr="00B86967">
        <w:rPr>
          <w:rFonts w:ascii="仿宋" w:eastAsia="仿宋" w:hAnsi="仿宋" w:hint="eastAsia"/>
          <w:bCs/>
          <w:sz w:val="28"/>
          <w:szCs w:val="28"/>
        </w:rPr>
        <w:t>4.本规程解释权修改权属主办单位，未尽事宜，另行通知。</w:t>
      </w: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</w:p>
    <w:p w:rsidR="005E768D" w:rsidRPr="00B86967" w:rsidRDefault="005E768D" w:rsidP="00B86967">
      <w:pPr>
        <w:spacing w:line="600" w:lineRule="exact"/>
        <w:ind w:firstLineChars="200" w:firstLine="600"/>
        <w:rPr>
          <w:rFonts w:ascii="仿宋" w:eastAsia="仿宋" w:hAnsi="仿宋"/>
          <w:bCs/>
          <w:sz w:val="28"/>
          <w:szCs w:val="28"/>
        </w:rPr>
      </w:pPr>
    </w:p>
    <w:p w:rsidR="005E768D" w:rsidRDefault="005E768D" w:rsidP="005E768D">
      <w:pPr>
        <w:spacing w:line="600" w:lineRule="exact"/>
        <w:ind w:firstLineChars="200" w:firstLine="680"/>
        <w:rPr>
          <w:rFonts w:ascii="仿宋_GB2312" w:eastAsia="仿宋_GB2312" w:hAnsi="宋体"/>
          <w:bCs/>
          <w:szCs w:val="32"/>
        </w:rPr>
      </w:pPr>
    </w:p>
    <w:p w:rsidR="005E768D" w:rsidRDefault="005E768D" w:rsidP="005E768D">
      <w:pPr>
        <w:spacing w:line="600" w:lineRule="exact"/>
        <w:ind w:firstLineChars="200" w:firstLine="680"/>
        <w:rPr>
          <w:rFonts w:ascii="仿宋_GB2312" w:eastAsia="仿宋_GB2312" w:hAnsi="宋体"/>
          <w:bCs/>
          <w:szCs w:val="32"/>
        </w:rPr>
      </w:pPr>
    </w:p>
    <w:p w:rsidR="005E768D" w:rsidRDefault="005E768D" w:rsidP="005E768D">
      <w:pPr>
        <w:spacing w:line="600" w:lineRule="exact"/>
        <w:ind w:firstLineChars="200" w:firstLine="680"/>
        <w:rPr>
          <w:rFonts w:ascii="仿宋_GB2312" w:eastAsia="仿宋_GB2312" w:hAnsi="宋体"/>
          <w:bCs/>
          <w:szCs w:val="32"/>
        </w:rPr>
      </w:pPr>
    </w:p>
    <w:p w:rsidR="005E768D" w:rsidRDefault="005E768D" w:rsidP="005E768D">
      <w:pPr>
        <w:spacing w:line="600" w:lineRule="exact"/>
        <w:ind w:firstLineChars="200" w:firstLine="680"/>
        <w:rPr>
          <w:rFonts w:ascii="仿宋_GB2312" w:eastAsia="仿宋_GB2312" w:hAnsi="宋体"/>
          <w:bCs/>
          <w:szCs w:val="32"/>
        </w:rPr>
      </w:pPr>
    </w:p>
    <w:p w:rsidR="005E768D" w:rsidRDefault="005E768D" w:rsidP="005E768D">
      <w:pPr>
        <w:spacing w:line="600" w:lineRule="exact"/>
        <w:ind w:firstLineChars="200" w:firstLine="680"/>
        <w:rPr>
          <w:rFonts w:ascii="仿宋_GB2312" w:eastAsia="仿宋_GB2312" w:hAnsi="宋体"/>
          <w:bCs/>
          <w:szCs w:val="32"/>
        </w:rPr>
      </w:pPr>
    </w:p>
    <w:p w:rsidR="005E768D" w:rsidRDefault="005E768D" w:rsidP="005E768D">
      <w:pPr>
        <w:spacing w:line="600" w:lineRule="exact"/>
        <w:ind w:firstLineChars="200" w:firstLine="680"/>
        <w:rPr>
          <w:rFonts w:ascii="仿宋_GB2312" w:eastAsia="仿宋_GB2312" w:hAnsi="宋体"/>
          <w:bCs/>
          <w:szCs w:val="32"/>
        </w:rPr>
      </w:pPr>
    </w:p>
    <w:p w:rsidR="005E768D" w:rsidRDefault="005E768D" w:rsidP="005E768D">
      <w:pPr>
        <w:spacing w:line="600" w:lineRule="exact"/>
        <w:ind w:firstLineChars="200" w:firstLine="680"/>
        <w:rPr>
          <w:rFonts w:ascii="仿宋_GB2312" w:eastAsia="仿宋_GB2312" w:hAnsi="宋体"/>
          <w:bCs/>
          <w:szCs w:val="32"/>
        </w:rPr>
      </w:pPr>
    </w:p>
    <w:p w:rsidR="005E768D" w:rsidRDefault="005E768D" w:rsidP="005E768D">
      <w:pPr>
        <w:spacing w:line="600" w:lineRule="exact"/>
        <w:ind w:firstLineChars="200" w:firstLine="680"/>
        <w:rPr>
          <w:rFonts w:ascii="仿宋_GB2312" w:eastAsia="仿宋_GB2312" w:hAnsi="宋体"/>
          <w:bCs/>
          <w:szCs w:val="32"/>
        </w:rPr>
      </w:pPr>
    </w:p>
    <w:p w:rsidR="005E768D" w:rsidRDefault="005E768D" w:rsidP="005E768D">
      <w:pPr>
        <w:spacing w:line="600" w:lineRule="exact"/>
        <w:ind w:firstLineChars="200" w:firstLine="680"/>
        <w:rPr>
          <w:rFonts w:ascii="仿宋_GB2312" w:eastAsia="仿宋_GB2312" w:hAnsi="宋体"/>
          <w:bCs/>
          <w:szCs w:val="32"/>
        </w:rPr>
      </w:pPr>
    </w:p>
    <w:p w:rsidR="005E768D" w:rsidRDefault="005E768D" w:rsidP="00E24124">
      <w:pPr>
        <w:spacing w:line="600" w:lineRule="exact"/>
        <w:rPr>
          <w:rFonts w:ascii="仿宋_GB2312" w:eastAsia="仿宋_GB2312" w:hAnsi="宋体"/>
          <w:bCs/>
          <w:szCs w:val="32"/>
        </w:rPr>
      </w:pPr>
    </w:p>
    <w:p w:rsidR="00E24124" w:rsidRDefault="00E24124" w:rsidP="00E24124">
      <w:pPr>
        <w:spacing w:line="600" w:lineRule="exact"/>
        <w:rPr>
          <w:rFonts w:ascii="仿宋_GB2312" w:eastAsia="仿宋_GB2312" w:hAnsi="宋体" w:hint="eastAsia"/>
          <w:bCs/>
          <w:szCs w:val="32"/>
        </w:rPr>
      </w:pPr>
    </w:p>
    <w:p w:rsidR="00E67BD1" w:rsidRDefault="00E67BD1" w:rsidP="00E24124">
      <w:pPr>
        <w:spacing w:line="600" w:lineRule="exact"/>
        <w:rPr>
          <w:rFonts w:ascii="仿宋_GB2312" w:eastAsia="仿宋_GB2312" w:hAnsi="宋体" w:hint="eastAsia"/>
          <w:bCs/>
          <w:szCs w:val="32"/>
        </w:rPr>
      </w:pPr>
    </w:p>
    <w:p w:rsidR="00E67BD1" w:rsidRDefault="00E67BD1" w:rsidP="00E24124">
      <w:pPr>
        <w:spacing w:line="600" w:lineRule="exact"/>
        <w:rPr>
          <w:rFonts w:ascii="仿宋_GB2312" w:eastAsia="仿宋_GB2312" w:hAnsi="宋体" w:hint="eastAsia"/>
          <w:bCs/>
          <w:szCs w:val="32"/>
        </w:rPr>
      </w:pPr>
    </w:p>
    <w:p w:rsidR="00E67BD1" w:rsidRDefault="00E67BD1" w:rsidP="00E24124">
      <w:pPr>
        <w:spacing w:line="600" w:lineRule="exact"/>
        <w:rPr>
          <w:rFonts w:ascii="仿宋_GB2312" w:eastAsia="仿宋_GB2312" w:hAnsi="宋体" w:hint="eastAsia"/>
          <w:bCs/>
          <w:szCs w:val="32"/>
        </w:rPr>
      </w:pPr>
    </w:p>
    <w:p w:rsidR="00E67BD1" w:rsidRPr="00E24124" w:rsidRDefault="00E67BD1" w:rsidP="00E24124">
      <w:pPr>
        <w:spacing w:line="600" w:lineRule="exact"/>
        <w:rPr>
          <w:rFonts w:ascii="仿宋_GB2312" w:eastAsia="仿宋_GB2312" w:hAnsi="宋体"/>
          <w:bCs/>
          <w:szCs w:val="32"/>
        </w:rPr>
      </w:pPr>
    </w:p>
    <w:p w:rsidR="00097D0C" w:rsidRPr="00E24124" w:rsidRDefault="005E768D" w:rsidP="00E24124">
      <w:pPr>
        <w:pBdr>
          <w:top w:val="single" w:sz="6" w:space="1" w:color="auto"/>
          <w:bottom w:val="single" w:sz="6" w:space="1" w:color="auto"/>
        </w:pBdr>
        <w:spacing w:line="600" w:lineRule="exact"/>
        <w:jc w:val="left"/>
        <w:rPr>
          <w:rFonts w:ascii="仿宋_GB2312" w:eastAsia="仿宋_GB2312"/>
          <w:bCs/>
          <w:szCs w:val="32"/>
        </w:rPr>
      </w:pPr>
      <w:r>
        <w:rPr>
          <w:rFonts w:ascii="仿宋_GB2312" w:eastAsia="仿宋_GB2312" w:hint="eastAsia"/>
          <w:bCs/>
          <w:szCs w:val="32"/>
        </w:rPr>
        <w:t>四川省教科文卫工会               2014年6月5日印发</w:t>
      </w:r>
    </w:p>
    <w:sectPr w:rsidR="00097D0C" w:rsidRPr="00E24124" w:rsidSect="008648DB">
      <w:headerReference w:type="default" r:id="rId7"/>
      <w:footerReference w:type="even" r:id="rId8"/>
      <w:footerReference w:type="default" r:id="rId9"/>
      <w:pgSz w:w="11907" w:h="16840"/>
      <w:pgMar w:top="2211" w:right="1474" w:bottom="1871" w:left="1588" w:header="737" w:footer="1588" w:gutter="0"/>
      <w:pgNumType w:fmt="numberInDash"/>
      <w:cols w:space="720"/>
      <w:docGrid w:type="linesAndChars" w:linePitch="579" w:charSpace="41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07" w:rsidRDefault="00030F07" w:rsidP="005E768D">
      <w:r>
        <w:separator/>
      </w:r>
    </w:p>
  </w:endnote>
  <w:endnote w:type="continuationSeparator" w:id="0">
    <w:p w:rsidR="00030F07" w:rsidRDefault="00030F07" w:rsidP="005E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66" w:rsidRDefault="008648DB">
    <w:pPr>
      <w:pStyle w:val="a4"/>
      <w:rPr>
        <w:sz w:val="28"/>
        <w:szCs w:val="28"/>
      </w:rPr>
    </w:pPr>
    <w:r>
      <w:rPr>
        <w:sz w:val="28"/>
        <w:szCs w:val="28"/>
      </w:rPr>
      <w:fldChar w:fldCharType="begin"/>
    </w:r>
    <w:r w:rsidR="00B8314D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8314D" w:rsidRPr="007479C9">
      <w:rPr>
        <w:noProof/>
        <w:sz w:val="28"/>
        <w:szCs w:val="28"/>
        <w:lang w:val="zh-CN"/>
      </w:rPr>
      <w:t>-</w:t>
    </w:r>
    <w:r w:rsidR="00B8314D" w:rsidRPr="007479C9">
      <w:rPr>
        <w:noProof/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66" w:rsidRDefault="008648DB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B8314D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45F84" w:rsidRPr="00845F84">
      <w:rPr>
        <w:noProof/>
        <w:sz w:val="28"/>
        <w:szCs w:val="28"/>
        <w:lang w:val="zh-CN"/>
      </w:rPr>
      <w:t>-</w:t>
    </w:r>
    <w:r w:rsidR="00845F84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07" w:rsidRDefault="00030F07" w:rsidP="005E768D">
      <w:r>
        <w:separator/>
      </w:r>
    </w:p>
  </w:footnote>
  <w:footnote w:type="continuationSeparator" w:id="0">
    <w:p w:rsidR="00030F07" w:rsidRDefault="00030F07" w:rsidP="005E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66" w:rsidRDefault="00030F0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599"/>
    <w:multiLevelType w:val="multilevel"/>
    <w:tmpl w:val="6B6C5599"/>
    <w:lvl w:ilvl="0">
      <w:start w:val="2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68D"/>
    <w:rsid w:val="00030F07"/>
    <w:rsid w:val="00097D0C"/>
    <w:rsid w:val="001F3FF7"/>
    <w:rsid w:val="005E768D"/>
    <w:rsid w:val="00845F84"/>
    <w:rsid w:val="008648DB"/>
    <w:rsid w:val="00B8314D"/>
    <w:rsid w:val="00B86967"/>
    <w:rsid w:val="00E24124"/>
    <w:rsid w:val="00E6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8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7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dcterms:created xsi:type="dcterms:W3CDTF">2015-06-19T02:24:00Z</dcterms:created>
  <dcterms:modified xsi:type="dcterms:W3CDTF">2015-06-19T02:29:00Z</dcterms:modified>
</cp:coreProperties>
</file>